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MUNICIPIUL BUCURE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TI</w:t>
        <w:tab/>
        <w:tab/>
        <w:tab/>
        <w:tab/>
        <w:tab/>
        <w:tab/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CONSILIUL LOCAL AL SECTORULUI 1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b w:val="1"/>
          <w:b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HOT</w:t>
      </w:r>
      <w:r>
        <w:rPr>
          <w:b w:val="1"/>
          <w:b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Ă</w:t>
      </w:r>
      <w:r>
        <w:rPr>
          <w:b w:val="1"/>
          <w:b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R</w:t>
      </w:r>
      <w:r>
        <w:rPr>
          <w:b w:val="1"/>
          <w:b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Â</w:t>
      </w:r>
      <w:r>
        <w:rPr>
          <w:b w:val="1"/>
          <w:b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RE</w:t>
      </w:r>
    </w:p>
    <w:p>
      <w:pPr>
        <w:pStyle w:val="Normal.0"/>
        <w:jc w:val="center"/>
        <w:rPr>
          <w:b w:val="1"/>
          <w:bCs w:val="1"/>
          <w:i w:val="1"/>
          <w:iCs w:val="1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b w:val="1"/>
          <w:bCs w:val="1"/>
          <w:i w:val="1"/>
          <w:i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privind aprobarea componen</w:t>
      </w:r>
      <w:r>
        <w:rPr>
          <w:b w:val="1"/>
          <w:bCs w:val="1"/>
          <w:i w:val="1"/>
          <w:i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ţ</w:t>
      </w:r>
      <w:r>
        <w:rPr>
          <w:b w:val="1"/>
          <w:bCs w:val="1"/>
          <w:i w:val="1"/>
          <w:i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ei nominale a</w:t>
      </w:r>
    </w:p>
    <w:p>
      <w:pPr>
        <w:pStyle w:val="Normal.0"/>
        <w:jc w:val="center"/>
        <w:rPr>
          <w:b w:val="1"/>
          <w:bCs w:val="1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b w:val="1"/>
          <w:bCs w:val="1"/>
          <w:i w:val="1"/>
          <w:i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Comisiei pentru Protec</w:t>
      </w:r>
      <w:r>
        <w:rPr>
          <w:b w:val="1"/>
          <w:bCs w:val="1"/>
          <w:i w:val="1"/>
          <w:i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ţ</w:t>
      </w:r>
      <w:r>
        <w:rPr>
          <w:b w:val="1"/>
          <w:bCs w:val="1"/>
          <w:i w:val="1"/>
          <w:iCs w:val="1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>ia Copilului Sector 1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both"/>
      </w:pPr>
      <w:r>
        <w:rPr>
          <w:rtl w:val="0"/>
          <w:lang w:val="en-US"/>
        </w:rPr>
        <w:t xml:space="preserve"> </w:t>
        <w:tab/>
        <w:t>V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nd Expunerea de motive a Primarului sectorului 1, precum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i Raportul de specialitate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ntocmit de c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tre Secretarul sectorului 1</w:t>
      </w:r>
      <w:r>
        <w:rPr>
          <w:rtl w:val="0"/>
          <w:lang w:val="fr-FR"/>
        </w:rPr>
        <w:t>;</w:t>
      </w:r>
    </w:p>
    <w:p>
      <w:pPr>
        <w:pStyle w:val="Normal.0"/>
        <w:ind w:firstLine="720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Raportul Comisiei pentru administra</w:t>
      </w:r>
      <w:r>
        <w:rPr>
          <w:rtl w:val="0"/>
        </w:rPr>
        <w:t>ţ</w:t>
      </w:r>
      <w:r>
        <w:rPr>
          <w:rtl w:val="0"/>
        </w:rPr>
        <w:t>ie public</w:t>
      </w:r>
      <w:r>
        <w:rPr>
          <w:rtl w:val="0"/>
        </w:rPr>
        <w:t xml:space="preserve">ă </w:t>
      </w:r>
      <w:r>
        <w:rPr>
          <w:rtl w:val="0"/>
        </w:rPr>
        <w:t>local</w:t>
      </w:r>
      <w:r>
        <w:rPr>
          <w:rtl w:val="0"/>
        </w:rPr>
        <w:t>ă</w:t>
      </w:r>
      <w:r>
        <w:rPr>
          <w:rtl w:val="0"/>
        </w:rPr>
        <w:t>, juridic</w:t>
      </w:r>
      <w:r>
        <w:rPr>
          <w:rtl w:val="0"/>
        </w:rPr>
        <w:t>ă</w:t>
      </w:r>
      <w:r>
        <w:rPr>
          <w:rtl w:val="0"/>
        </w:rPr>
        <w:t>, ap</w:t>
      </w:r>
      <w:r>
        <w:rPr>
          <w:rtl w:val="0"/>
        </w:rPr>
        <w:t>ă</w:t>
      </w:r>
      <w:r>
        <w:rPr>
          <w:rtl w:val="0"/>
        </w:rPr>
        <w:t xml:space="preserve">rarea ordinii publice, respectarea drepturilor </w:t>
      </w:r>
      <w:r>
        <w:rPr>
          <w:rtl w:val="0"/>
        </w:rPr>
        <w:t>ş</w:t>
      </w:r>
      <w:r>
        <w:rPr>
          <w:rtl w:val="0"/>
        </w:rPr>
        <w:t>i libert</w:t>
      </w:r>
      <w:r>
        <w:rPr>
          <w:rtl w:val="0"/>
        </w:rPr>
        <w:t>ăţ</w:t>
      </w:r>
      <w:r>
        <w:rPr>
          <w:rtl w:val="0"/>
        </w:rPr>
        <w:t>ilor cet</w:t>
      </w:r>
      <w:r>
        <w:rPr>
          <w:rtl w:val="0"/>
        </w:rPr>
        <w:t>ăţ</w:t>
      </w:r>
      <w:r>
        <w:rPr>
          <w:rtl w:val="0"/>
        </w:rPr>
        <w:t xml:space="preserve">enilor  </w:t>
      </w:r>
      <w:r>
        <w:rPr>
          <w:rtl w:val="0"/>
        </w:rPr>
        <w:t>ş</w:t>
      </w:r>
      <w:r>
        <w:rPr>
          <w:rtl w:val="0"/>
        </w:rPr>
        <w:t xml:space="preserve">i patrimoniu </w:t>
      </w:r>
      <w:r>
        <w:rPr>
          <w:rtl w:val="0"/>
        </w:rPr>
        <w:t>ş</w:t>
      </w:r>
      <w:r>
        <w:rPr>
          <w:rtl w:val="0"/>
        </w:rPr>
        <w:t>i al Comisiei de s</w:t>
      </w:r>
      <w:r>
        <w:rPr>
          <w:rtl w:val="0"/>
        </w:rPr>
        <w:t>ă</w:t>
      </w:r>
      <w:r>
        <w:rPr>
          <w:rtl w:val="0"/>
        </w:rPr>
        <w:t>n</w:t>
      </w:r>
      <w:r>
        <w:rPr>
          <w:rtl w:val="0"/>
        </w:rPr>
        <w:t>ă</w:t>
      </w:r>
      <w:r>
        <w:rPr>
          <w:rtl w:val="0"/>
        </w:rPr>
        <w:t xml:space="preserve">tate </w:t>
      </w:r>
      <w:r>
        <w:rPr>
          <w:rtl w:val="0"/>
        </w:rPr>
        <w:t>ş</w:t>
      </w:r>
      <w:r>
        <w:rPr>
          <w:rtl w:val="0"/>
        </w:rPr>
        <w:t>i protec</w:t>
      </w:r>
      <w:r>
        <w:rPr>
          <w:rtl w:val="0"/>
        </w:rPr>
        <w:t>ţ</w:t>
      </w:r>
      <w:r>
        <w:rPr>
          <w:rtl w:val="0"/>
        </w:rPr>
        <w:t>ie social</w:t>
      </w:r>
      <w:r>
        <w:rPr>
          <w:rtl w:val="0"/>
        </w:rPr>
        <w:t xml:space="preserve">ă </w:t>
      </w:r>
      <w:r>
        <w:rPr>
          <w:rtl w:val="0"/>
        </w:rPr>
        <w:t>ale Consiliului Local al Sectorului 1;</w:t>
      </w:r>
    </w:p>
    <w:p>
      <w:pPr>
        <w:pStyle w:val="Normal.0"/>
        <w:ind w:firstLine="720"/>
        <w:jc w:val="both"/>
        <w:rPr>
          <w:lang w:val="fr-FR"/>
        </w:rPr>
      </w:pPr>
      <w:r>
        <w:rPr>
          <w:rtl w:val="0"/>
          <w:lang w:val="fr-FR"/>
        </w:rPr>
        <w:t>Î</w:t>
      </w:r>
      <w:r>
        <w:rPr>
          <w:rtl w:val="0"/>
          <w:lang w:val="fr-FR"/>
        </w:rPr>
        <w:t>n conformitate cu prevederile Legii nr. 24/2000 privind normele de tehnic</w:t>
      </w:r>
      <w:r>
        <w:rPr>
          <w:rtl w:val="0"/>
          <w:lang w:val="fr-FR"/>
        </w:rPr>
        <w:t xml:space="preserve">ă </w:t>
      </w:r>
      <w:r>
        <w:rPr>
          <w:rtl w:val="0"/>
          <w:lang w:val="fr-FR"/>
        </w:rPr>
        <w:t>legislativ</w:t>
      </w:r>
      <w:r>
        <w:rPr>
          <w:rtl w:val="0"/>
          <w:lang w:val="fr-FR"/>
        </w:rPr>
        <w:t xml:space="preserve">ă </w:t>
      </w:r>
      <w:r>
        <w:rPr>
          <w:rtl w:val="0"/>
          <w:lang w:val="fr-FR"/>
        </w:rPr>
        <w:t>pentru elaborarea actelor normative, republicat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>, cu modific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 xml:space="preserve">rile </w:t>
      </w:r>
      <w:r>
        <w:rPr>
          <w:rtl w:val="0"/>
          <w:lang w:val="fr-FR"/>
        </w:rPr>
        <w:t>ş</w:t>
      </w:r>
      <w:r>
        <w:rPr>
          <w:rtl w:val="0"/>
          <w:lang w:val="fr-FR"/>
        </w:rPr>
        <w:t>i complet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>rile ulterioare;</w:t>
      </w:r>
    </w:p>
    <w:p>
      <w:pPr>
        <w:pStyle w:val="Normal.0"/>
        <w:ind w:firstLine="720"/>
        <w:jc w:val="both"/>
        <w:rPr>
          <w:lang w:val="fr-FR"/>
        </w:rPr>
      </w:pPr>
      <w:r>
        <w:rPr>
          <w:rtl w:val="0"/>
          <w:lang w:val="fr-FR"/>
        </w:rPr>
        <w:t>Ţ</w:t>
      </w:r>
      <w:r>
        <w:rPr>
          <w:rtl w:val="0"/>
          <w:lang w:val="fr-FR"/>
        </w:rPr>
        <w:t>in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>nd seama de prevederile Legii nr.272/2004 privind protec</w:t>
      </w:r>
      <w:r>
        <w:rPr>
          <w:rtl w:val="0"/>
          <w:lang w:val="fr-FR"/>
        </w:rPr>
        <w:t>ţ</w:t>
      </w:r>
      <w:r>
        <w:rPr>
          <w:rtl w:val="0"/>
          <w:lang w:val="fr-FR"/>
        </w:rPr>
        <w:t xml:space="preserve">ia </w:t>
      </w:r>
      <w:r>
        <w:rPr>
          <w:rtl w:val="0"/>
          <w:lang w:val="fr-FR"/>
        </w:rPr>
        <w:t>ş</w:t>
      </w:r>
      <w:r>
        <w:rPr>
          <w:rtl w:val="0"/>
          <w:lang w:val="fr-FR"/>
        </w:rPr>
        <w:t>i promovarea drepturilor copilului, republicat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>, cu modific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 xml:space="preserve">rile </w:t>
      </w:r>
      <w:r>
        <w:rPr>
          <w:rtl w:val="0"/>
          <w:lang w:val="fr-FR"/>
        </w:rPr>
        <w:t>ş</w:t>
      </w:r>
      <w:r>
        <w:rPr>
          <w:rtl w:val="0"/>
          <w:lang w:val="fr-FR"/>
        </w:rPr>
        <w:t>i complet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 xml:space="preserve">rile ulterioare; </w:t>
      </w:r>
    </w:p>
    <w:p>
      <w:pPr>
        <w:pStyle w:val="Normal.0"/>
        <w:ind w:firstLine="720"/>
        <w:jc w:val="both"/>
        <w:rPr>
          <w:lang w:val="fr-FR"/>
        </w:rPr>
      </w:pPr>
      <w:r>
        <w:rPr>
          <w:rtl w:val="0"/>
          <w:lang w:val="fr-FR"/>
        </w:rPr>
        <w:t>Av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 xml:space="preserve">nd 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n vedere prevederile Hot</w:t>
      </w:r>
      <w:r>
        <w:rPr>
          <w:rtl w:val="0"/>
          <w:lang w:val="fr-FR"/>
        </w:rPr>
        <w:t>ă</w:t>
      </w:r>
      <w:r>
        <w:rPr>
          <w:rtl w:val="0"/>
          <w:lang w:val="fr-FR"/>
        </w:rPr>
        <w:t>r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>rii Guvernului Rom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 xml:space="preserve">niei nr.1437/2004 privind organizarea </w:t>
      </w:r>
      <w:r>
        <w:rPr>
          <w:rtl w:val="0"/>
          <w:lang w:val="fr-FR"/>
        </w:rPr>
        <w:t>ş</w:t>
      </w:r>
      <w:r>
        <w:rPr>
          <w:rtl w:val="0"/>
          <w:lang w:val="fr-FR"/>
        </w:rPr>
        <w:t>i metodologia de func</w:t>
      </w:r>
      <w:r>
        <w:rPr>
          <w:rtl w:val="0"/>
          <w:lang w:val="fr-FR"/>
        </w:rPr>
        <w:t>ţ</w:t>
      </w:r>
      <w:r>
        <w:rPr>
          <w:rtl w:val="0"/>
          <w:lang w:val="fr-FR"/>
        </w:rPr>
        <w:t>ionare a comisiei pentru protec</w:t>
      </w:r>
      <w:r>
        <w:rPr>
          <w:rtl w:val="0"/>
          <w:lang w:val="fr-FR"/>
        </w:rPr>
        <w:t>ţ</w:t>
      </w:r>
      <w:r>
        <w:rPr>
          <w:rtl w:val="0"/>
          <w:lang w:val="fr-FR"/>
        </w:rPr>
        <w:t>ia copilului;</w:t>
      </w:r>
    </w:p>
    <w:p>
      <w:pPr>
        <w:pStyle w:val="Normal.0"/>
        <w:ind w:firstLine="720"/>
        <w:jc w:val="both"/>
      </w:pPr>
      <w:r>
        <w:rPr>
          <w:rtl w:val="0"/>
          <w:lang w:val="en-US"/>
        </w:rPr>
        <w:t>Lu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nd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 considerare adresa nr.28847/10.12.2015 emis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de Agen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ia pentru Pl</w:t>
      </w:r>
      <w:r>
        <w:rPr>
          <w:rtl w:val="0"/>
          <w:lang w:val="en-US"/>
        </w:rPr>
        <w:t>ăţ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 Inspec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ie Social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a Municipiului Bucure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ti;</w:t>
      </w:r>
    </w:p>
    <w:p>
      <w:pPr>
        <w:pStyle w:val="Normal.0"/>
        <w:jc w:val="both"/>
      </w:pPr>
      <w:r>
        <w:rPr>
          <w:rtl w:val="0"/>
        </w:rPr>
        <w:tab/>
        <w:t xml:space="preserve">In temeiul prevederilor art.45, alin.(1), art.81, alin.(2), lit.n)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 art.115, alin.(1), lit.b) din Legea nr. 215/2001 a administratiei publice locale, republicat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, cu modific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 xml:space="preserve">rile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 complet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rile ulterioare,</w:t>
      </w:r>
    </w:p>
    <w:p>
      <w:pPr>
        <w:pStyle w:val="Normal.0"/>
        <w:jc w:val="both"/>
      </w:pPr>
    </w:p>
    <w:p>
      <w:pPr>
        <w:pStyle w:val="Normal.0"/>
        <w:ind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CONSILIUL LOCAL AL SECTORULUI 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HOT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en-US"/>
        </w:rPr>
        <w:t>ĂŞ</w:t>
      </w:r>
      <w:r>
        <w:rPr>
          <w:b w:val="1"/>
          <w:bCs w:val="1"/>
          <w:rtl w:val="0"/>
          <w:lang w:val="en-US"/>
        </w:rPr>
        <w:t>TE: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ind w:firstLine="720"/>
        <w:jc w:val="both"/>
        <w:rPr>
          <w:i w:val="1"/>
          <w:iCs w:val="1"/>
        </w:rPr>
      </w:pPr>
      <w:r>
        <w:rPr>
          <w:b w:val="1"/>
          <w:bCs w:val="1"/>
          <w:rtl w:val="0"/>
          <w:lang w:val="en-US"/>
        </w:rPr>
        <w:t xml:space="preserve">   Art.1.</w:t>
      </w:r>
      <w:r>
        <w:rPr>
          <w:rtl w:val="0"/>
          <w:lang w:val="en-US"/>
        </w:rPr>
        <w:t xml:space="preserve"> Se aprob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componen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a nominal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a Comisiei pentru Protec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ia Copilului Sector 1, dup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cum urmeaz</w:t>
      </w:r>
      <w:r>
        <w:rPr>
          <w:rtl w:val="0"/>
          <w:lang w:val="en-US"/>
        </w:rPr>
        <w:t>ă</w:t>
      </w:r>
      <w:r>
        <w:rPr>
          <w:i w:val="1"/>
          <w:iCs w:val="1"/>
          <w:rtl w:val="0"/>
          <w:lang w:val="en-US"/>
        </w:rPr>
        <w:t>:</w:t>
      </w:r>
    </w:p>
    <w:p>
      <w:pPr>
        <w:pStyle w:val="Normal.0"/>
        <w:ind w:firstLine="720"/>
        <w:jc w:val="both"/>
        <w:rPr>
          <w:i w:val="1"/>
          <w:i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    </w:t>
      </w:r>
      <w:r>
        <w:rPr>
          <w:b w:val="1"/>
          <w:bCs w:val="1"/>
          <w:rtl w:val="0"/>
          <w:lang w:val="en-US"/>
        </w:rPr>
        <w:t>Pre</w:t>
      </w:r>
      <w:r>
        <w:rPr>
          <w:b w:val="1"/>
          <w:bCs w:val="1"/>
          <w:rtl w:val="0"/>
          <w:lang w:val="en-US"/>
        </w:rPr>
        <w:t>ş</w:t>
      </w:r>
      <w:r>
        <w:rPr>
          <w:b w:val="1"/>
          <w:bCs w:val="1"/>
          <w:rtl w:val="0"/>
          <w:lang w:val="en-US"/>
        </w:rPr>
        <w:t>edinte: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Remus Alexandru Moldoveanu 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Normal.0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    </w:t>
      </w:r>
      <w:r>
        <w:rPr>
          <w:b w:val="1"/>
          <w:bCs w:val="1"/>
          <w:rtl w:val="0"/>
          <w:lang w:val="en-US"/>
        </w:rPr>
        <w:t>Vicepre</w:t>
      </w:r>
      <w:r>
        <w:rPr>
          <w:b w:val="1"/>
          <w:bCs w:val="1"/>
          <w:rtl w:val="0"/>
          <w:lang w:val="en-US"/>
        </w:rPr>
        <w:t>ş</w:t>
      </w:r>
      <w:r>
        <w:rPr>
          <w:b w:val="1"/>
          <w:bCs w:val="1"/>
          <w:rtl w:val="0"/>
          <w:lang w:val="en-US"/>
        </w:rPr>
        <w:t>edinte:</w:t>
      </w:r>
    </w:p>
    <w:p>
      <w:pPr>
        <w:pStyle w:val="Normal.0"/>
        <w:jc w:val="both"/>
      </w:pPr>
      <w:r>
        <w:rPr>
          <w:b w:val="1"/>
          <w:bCs w:val="1"/>
          <w:rtl w:val="0"/>
          <w:lang w:val="en-US"/>
        </w:rPr>
        <w:t xml:space="preserve">             D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nu</w:t>
      </w:r>
      <w:r>
        <w:rPr>
          <w:b w:val="1"/>
          <w:bCs w:val="1"/>
          <w:rtl w:val="0"/>
          <w:lang w:val="en-US"/>
        </w:rPr>
        <w:t xml:space="preserve">ţ </w:t>
      </w:r>
      <w:r>
        <w:rPr>
          <w:b w:val="1"/>
          <w:bCs w:val="1"/>
          <w:rtl w:val="0"/>
          <w:lang w:val="en-US"/>
        </w:rPr>
        <w:t>Ioan Fleac</w:t>
      </w:r>
      <w:r>
        <w:rPr>
          <w:b w:val="1"/>
          <w:bCs w:val="1"/>
          <w:rtl w:val="0"/>
          <w:lang w:val="en-US"/>
        </w:rPr>
        <w:t>ă</w:t>
      </w:r>
      <w:r>
        <w:rPr>
          <w:rtl w:val="0"/>
          <w:lang w:val="en-US"/>
        </w:rPr>
        <w:t>- director general al Direc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iei Generale de Asisten</w:t>
      </w:r>
      <w:r>
        <w:rPr>
          <w:rtl w:val="0"/>
          <w:lang w:val="en-US"/>
        </w:rPr>
        <w:t xml:space="preserve">ţă </w:t>
      </w:r>
      <w:r>
        <w:rPr>
          <w:rtl w:val="0"/>
          <w:lang w:val="en-US"/>
        </w:rPr>
        <w:t>Social</w:t>
      </w:r>
      <w:r>
        <w:rPr>
          <w:rtl w:val="0"/>
          <w:lang w:val="en-US"/>
        </w:rPr>
        <w:t>ă ş</w:t>
      </w:r>
      <w:r>
        <w:rPr>
          <w:rtl w:val="0"/>
          <w:lang w:val="en-US"/>
        </w:rPr>
        <w:t>i Protec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ia Copilului Sector 1</w:t>
      </w: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    </w:t>
      </w:r>
      <w:r>
        <w:rPr>
          <w:b w:val="1"/>
          <w:bCs w:val="1"/>
          <w:rtl w:val="0"/>
          <w:lang w:val="en-US"/>
        </w:rPr>
        <w:t>Membri:</w:t>
      </w:r>
    </w:p>
    <w:p>
      <w:pPr>
        <w:pStyle w:val="Normal.0"/>
        <w:jc w:val="both"/>
      </w:pPr>
      <w:r>
        <w:rPr>
          <w:b w:val="1"/>
          <w:bCs w:val="1"/>
          <w:rtl w:val="0"/>
          <w:lang w:val="en-US"/>
        </w:rPr>
        <w:t xml:space="preserve">             Cozma Romeo Adrian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 xml:space="preserve">inspector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colar pentru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nv</w:t>
      </w:r>
      <w:r>
        <w:rPr>
          <w:rtl w:val="0"/>
          <w:lang w:val="en-US"/>
        </w:rPr>
        <w:t>ăţă</w:t>
      </w:r>
      <w:r>
        <w:rPr>
          <w:rtl w:val="0"/>
          <w:lang w:val="en-US"/>
        </w:rPr>
        <w:t>m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ntul special;</w:t>
      </w:r>
    </w:p>
    <w:p>
      <w:pPr>
        <w:pStyle w:val="Normal.0"/>
        <w:ind w:firstLine="720"/>
        <w:jc w:val="both"/>
      </w:pP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Vali Velcu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>reprezentant al Agen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iei pentru Pl</w:t>
      </w:r>
      <w:r>
        <w:rPr>
          <w:rtl w:val="0"/>
          <w:lang w:val="en-US"/>
        </w:rPr>
        <w:t>ăţ</w:t>
      </w:r>
      <w:r>
        <w:rPr>
          <w:rtl w:val="0"/>
          <w:lang w:val="en-US"/>
        </w:rPr>
        <w:t xml:space="preserve">i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 Inspec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ie Social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a Municipiului Bucure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ti;</w:t>
      </w:r>
    </w:p>
    <w:p>
      <w:pPr>
        <w:pStyle w:val="Normal.0"/>
        <w:ind w:firstLine="720"/>
        <w:jc w:val="both"/>
      </w:pPr>
      <w:r>
        <w:rPr>
          <w:b w:val="1"/>
          <w:bCs w:val="1"/>
          <w:rtl w:val="0"/>
          <w:lang w:val="en-US"/>
        </w:rPr>
        <w:t>V</w:t>
      </w:r>
      <w:r>
        <w:rPr>
          <w:b w:val="1"/>
          <w:bCs w:val="1"/>
          <w:rtl w:val="0"/>
          <w:lang w:val="en-US"/>
        </w:rPr>
        <w:t>â</w:t>
      </w:r>
      <w:r>
        <w:rPr>
          <w:b w:val="1"/>
          <w:bCs w:val="1"/>
          <w:rtl w:val="0"/>
          <w:lang w:val="en-US"/>
        </w:rPr>
        <w:t>rgolici Georgeta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>medic primar pediatrie;</w:t>
      </w:r>
    </w:p>
    <w:p>
      <w:pPr>
        <w:pStyle w:val="Normal.0"/>
        <w:ind w:firstLine="720"/>
        <w:jc w:val="both"/>
      </w:pPr>
      <w:r>
        <w:rPr>
          <w:b w:val="1"/>
          <w:bCs w:val="1"/>
          <w:rtl w:val="0"/>
          <w:lang w:val="en-US"/>
        </w:rPr>
        <w:t>Berechet Mioara</w:t>
      </w:r>
      <w:r>
        <w:rPr>
          <w:rtl w:val="0"/>
          <w:lang w:val="en-US"/>
        </w:rPr>
        <w:t xml:space="preserve"> – </w:t>
      </w:r>
      <w:r>
        <w:rPr>
          <w:rtl w:val="0"/>
          <w:lang w:val="en-US"/>
        </w:rPr>
        <w:t>comisar de poli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ie 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Poli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ia Sectorului 1;</w:t>
      </w:r>
    </w:p>
    <w:p>
      <w:pPr>
        <w:pStyle w:val="Normal.0"/>
        <w:ind w:firstLine="720"/>
        <w:jc w:val="both"/>
      </w:pPr>
      <w:r>
        <w:rPr>
          <w:b w:val="1"/>
          <w:bCs w:val="1"/>
          <w:rtl w:val="0"/>
          <w:lang w:val="en-US"/>
        </w:rPr>
        <w:t xml:space="preserve">Stegaru Ianovici Gabriela </w:t>
      </w:r>
      <w:r>
        <w:rPr>
          <w:rtl w:val="0"/>
          <w:lang w:val="en-US"/>
        </w:rPr>
        <w:t>- director Funda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Via</w:t>
      </w:r>
      <w:r>
        <w:rPr>
          <w:rtl w:val="0"/>
          <w:lang w:val="en-US"/>
        </w:rPr>
        <w:t>ţă ş</w:t>
      </w:r>
      <w:r>
        <w:rPr>
          <w:rtl w:val="0"/>
          <w:lang w:val="en-US"/>
        </w:rPr>
        <w:t>i Lumin</w:t>
      </w:r>
      <w:r>
        <w:rPr>
          <w:rtl w:val="0"/>
          <w:lang w:val="en-US"/>
        </w:rPr>
        <w:t>ă”</w:t>
      </w:r>
      <w:r>
        <w:rPr>
          <w:rtl w:val="0"/>
          <w:lang w:val="en-US"/>
        </w:rPr>
        <w:t>.</w:t>
      </w:r>
    </w:p>
    <w:p>
      <w:pPr>
        <w:pStyle w:val="Normal.0"/>
        <w:ind w:firstLine="720"/>
        <w:jc w:val="both"/>
      </w:pPr>
      <w:r>
        <w:rPr>
          <w:b w:val="1"/>
          <w:bCs w:val="1"/>
          <w:rtl w:val="0"/>
          <w:lang w:val="en-US"/>
        </w:rPr>
        <w:t xml:space="preserve">Art.2. </w:t>
      </w:r>
      <w:r>
        <w:rPr>
          <w:rtl w:val="0"/>
          <w:lang w:val="en-US"/>
        </w:rPr>
        <w:t>Indemniza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pentru participarea la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edin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ele Comisiei pentru Protec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ia Copilului Sector 1 se stabile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 xml:space="preserve">te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 cuantum de 1% din indemniza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Primarului Sectorului 1, per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edin</w:t>
      </w:r>
      <w:r>
        <w:rPr>
          <w:rtl w:val="0"/>
          <w:lang w:val="en-US"/>
        </w:rPr>
        <w:t>ţă</w:t>
      </w:r>
      <w:r>
        <w:rPr>
          <w:rtl w:val="0"/>
          <w:lang w:val="en-US"/>
        </w:rPr>
        <w:t>.</w:t>
      </w:r>
    </w:p>
    <w:p>
      <w:pPr>
        <w:pStyle w:val="Normal.0"/>
        <w:jc w:val="both"/>
      </w:pPr>
    </w:p>
    <w:p>
      <w:pPr>
        <w:pStyle w:val="Normal.0"/>
        <w:ind w:firstLine="720"/>
        <w:jc w:val="both"/>
      </w:pPr>
      <w:r>
        <w:rPr>
          <w:b w:val="1"/>
          <w:bCs w:val="1"/>
          <w:rtl w:val="0"/>
          <w:lang w:val="en-US"/>
        </w:rPr>
        <w:t xml:space="preserve">Art.3. (1) </w:t>
      </w:r>
      <w:r>
        <w:rPr>
          <w:rtl w:val="0"/>
          <w:lang w:val="en-US"/>
        </w:rPr>
        <w:t>Primarul sectorului 1, Secretarul sectorului 1, Direc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ia General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de Asisten</w:t>
      </w:r>
      <w:r>
        <w:rPr>
          <w:rtl w:val="0"/>
          <w:lang w:val="en-US"/>
        </w:rPr>
        <w:t xml:space="preserve">ţă </w:t>
      </w:r>
      <w:r>
        <w:rPr>
          <w:rtl w:val="0"/>
          <w:lang w:val="en-US"/>
        </w:rPr>
        <w:t>Social</w:t>
      </w:r>
      <w:r>
        <w:rPr>
          <w:rtl w:val="0"/>
          <w:lang w:val="en-US"/>
        </w:rPr>
        <w:t>ă ş</w:t>
      </w:r>
      <w:r>
        <w:rPr>
          <w:rtl w:val="0"/>
          <w:lang w:val="en-US"/>
        </w:rPr>
        <w:t>i Protec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Copilului Sector 1 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i membrii Comisiei pentru Protec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Copilului  vor duce la </w:t>
      </w:r>
      <w:r>
        <w:rPr>
          <w:rtl w:val="0"/>
          <w:lang w:val="en-US"/>
        </w:rPr>
        <w:t>î</w:t>
      </w:r>
      <w:r>
        <w:rPr>
          <w:rtl w:val="0"/>
          <w:lang w:val="en-US"/>
        </w:rPr>
        <w:t>ndeplinire prevederile prezentei hot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>ri.</w:t>
      </w:r>
    </w:p>
    <w:p>
      <w:pPr>
        <w:pStyle w:val="Normal.0"/>
        <w:jc w:val="both"/>
      </w:pPr>
      <w:r>
        <w:tab/>
      </w:r>
      <w:r>
        <w:rPr>
          <w:b w:val="1"/>
          <w:bCs w:val="1"/>
          <w:rtl w:val="0"/>
        </w:rPr>
        <w:t xml:space="preserve">           (2)</w:t>
      </w:r>
      <w:r>
        <w:rPr>
          <w:rtl w:val="0"/>
        </w:rPr>
        <w:t xml:space="preserve"> Serviciul Secretariat General, Audien</w:t>
      </w:r>
      <w:r>
        <w:rPr>
          <w:rtl w:val="0"/>
        </w:rPr>
        <w:t>ț</w:t>
      </w:r>
      <w:r>
        <w:rPr>
          <w:rtl w:val="0"/>
        </w:rPr>
        <w:t>e va asigura comunicarea prezentei institu</w:t>
      </w:r>
      <w:r>
        <w:rPr>
          <w:rtl w:val="0"/>
        </w:rPr>
        <w:t>ţ</w:t>
      </w:r>
      <w:r>
        <w:rPr>
          <w:rtl w:val="0"/>
        </w:rPr>
        <w:t>iei  men</w:t>
      </w:r>
      <w:r>
        <w:rPr>
          <w:rtl w:val="0"/>
        </w:rPr>
        <w:t>ţ</w:t>
      </w:r>
      <w:r>
        <w:rPr>
          <w:rtl w:val="0"/>
        </w:rPr>
        <w:t xml:space="preserve">ionate la alin.(1), precum </w:t>
      </w:r>
      <w:r>
        <w:rPr>
          <w:rtl w:val="0"/>
        </w:rPr>
        <w:t>ş</w:t>
      </w:r>
      <w:r>
        <w:rPr>
          <w:rtl w:val="0"/>
        </w:rPr>
        <w:t>i Institu</w:t>
      </w:r>
      <w:r>
        <w:rPr>
          <w:rtl w:val="0"/>
        </w:rPr>
        <w:t>ţ</w:t>
      </w:r>
      <w:r>
        <w:rPr>
          <w:rtl w:val="0"/>
        </w:rPr>
        <w:t>iei Prefectului Municipiului Bucure</w:t>
      </w:r>
      <w:r>
        <w:rPr>
          <w:rtl w:val="0"/>
        </w:rPr>
        <w:t>ş</w:t>
      </w:r>
      <w:r>
        <w:rPr>
          <w:rtl w:val="0"/>
        </w:rPr>
        <w:t>ti.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ind w:firstLine="720"/>
        <w:jc w:val="both"/>
      </w:pPr>
      <w:r>
        <w:rPr>
          <w:rtl w:val="0"/>
        </w:rPr>
        <w:t>Aceast</w:t>
      </w:r>
      <w:r>
        <w:rPr>
          <w:rtl w:val="0"/>
        </w:rPr>
        <w:t xml:space="preserve">ă </w:t>
      </w:r>
      <w:r>
        <w:rPr>
          <w:rtl w:val="0"/>
        </w:rPr>
        <w:t>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 a fost adoptat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ordinar</w:t>
      </w:r>
      <w:r>
        <w:rPr>
          <w:rtl w:val="0"/>
        </w:rPr>
        <w:t xml:space="preserve">ă </w:t>
      </w:r>
      <w:r>
        <w:rPr>
          <w:rtl w:val="0"/>
        </w:rPr>
        <w:t>a  Consiliului Local al Sectorului 1 din data de 22.12.2015.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ab/>
        <w:t>PRE</w:t>
      </w:r>
      <w:r>
        <w:rPr>
          <w:b w:val="1"/>
          <w:bCs w:val="1"/>
          <w:rtl w:val="0"/>
          <w:lang w:val="en-US"/>
        </w:rPr>
        <w:t>Ş</w:t>
      </w:r>
      <w:r>
        <w:rPr>
          <w:b w:val="1"/>
          <w:bCs w:val="1"/>
          <w:rtl w:val="0"/>
          <w:lang w:val="en-US"/>
        </w:rPr>
        <w:t xml:space="preserve">EDINTE DE </w:t>
      </w:r>
      <w:r>
        <w:rPr>
          <w:b w:val="1"/>
          <w:bCs w:val="1"/>
          <w:rtl w:val="0"/>
          <w:lang w:val="en-US"/>
        </w:rPr>
        <w:t>Ş</w:t>
      </w:r>
      <w:r>
        <w:rPr>
          <w:b w:val="1"/>
          <w:bCs w:val="1"/>
          <w:rtl w:val="0"/>
          <w:lang w:val="en-US"/>
        </w:rPr>
        <w:t>EDIN</w:t>
      </w:r>
      <w:r>
        <w:rPr>
          <w:b w:val="1"/>
          <w:bCs w:val="1"/>
          <w:rtl w:val="0"/>
          <w:lang w:val="en-US"/>
        </w:rPr>
        <w:t>ŢĂ</w:t>
      </w:r>
      <w:r>
        <w:rPr>
          <w:b w:val="1"/>
          <w:bCs w:val="1"/>
          <w:rtl w:val="0"/>
          <w:lang w:val="en-US"/>
        </w:rPr>
        <w:t>,</w:t>
        <w:tab/>
        <w:t xml:space="preserve">                       CONTRASEMNEAZ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,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            Adrian T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n</w:t>
      </w:r>
      <w:r>
        <w:rPr>
          <w:b w:val="1"/>
          <w:bCs w:val="1"/>
          <w:rtl w:val="0"/>
          <w:lang w:val="en-US"/>
        </w:rPr>
        <w:t>ă</w:t>
      </w:r>
      <w:r>
        <w:rPr>
          <w:b w:val="1"/>
          <w:bCs w:val="1"/>
          <w:rtl w:val="0"/>
          <w:lang w:val="en-US"/>
        </w:rPr>
        <w:t>sescu</w:t>
        <w:tab/>
        <w:t xml:space="preserve">     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                                                                                           SECRETAR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                                                                    </w:t>
        <w:tab/>
        <w:t xml:space="preserve">      Remus Alexandru Moldoveanu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ab/>
        <w:t>Nr.:        227</w:t>
      </w:r>
    </w:p>
    <w:p>
      <w:pPr>
        <w:pStyle w:val="Normal.0"/>
        <w:jc w:val="both"/>
      </w:pPr>
      <w:r>
        <w:rPr>
          <w:b w:val="1"/>
          <w:bCs w:val="1"/>
          <w:rtl w:val="0"/>
        </w:rPr>
        <w:tab/>
        <w:t>Data:     22.12.2015</w:t>
      </w:r>
      <w:r>
        <w:rPr>
          <w:b w:val="1"/>
          <w:bCs w:val="1"/>
          <w:sz w:val="28"/>
          <w:szCs w:val="28"/>
          <w14:shadow w14:sx="100000" w14:sy="100000" w14:kx="0" w14:ky="0" w14:algn="tl" w14:blurRad="0" w14:dist="20635" w14:dir="2700000">
            <w14:srgbClr w14:val="000000">
              <w14:alpha w14:val="50000"/>
            </w14:srgbClr>
          </w14:shadow>
        </w:rPr>
      </w:r>
    </w:p>
    <w:sectPr>
      <w:headerReference w:type="default" r:id="rId4"/>
      <w:footerReference w:type="default" r:id="rId5"/>
      <w:pgSz w:w="12240" w:h="15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