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A6" w:rsidRPr="00D974AD" w:rsidRDefault="001F00A6" w:rsidP="00334109">
      <w:pPr>
        <w:widowControl w:val="0"/>
        <w:autoSpaceDE w:val="0"/>
        <w:autoSpaceDN w:val="0"/>
        <w:adjustRightInd w:val="0"/>
        <w:ind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1F00A6" w:rsidRPr="00D974AD" w:rsidRDefault="001F00A6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                                                                                   </w:t>
      </w:r>
      <w:r w:rsid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            </w:t>
      </w: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Anexă  nr.</w:t>
      </w: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2</w:t>
      </w:r>
    </w:p>
    <w:p w:rsidR="001F00A6" w:rsidRPr="00D974AD" w:rsidRDefault="001F00A6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                                                                  </w:t>
      </w:r>
      <w:r w:rsid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 w:rsid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  <w:t xml:space="preserve">    </w:t>
      </w: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la Hotărârea Consiliului Local</w:t>
      </w:r>
    </w:p>
    <w:p w:rsidR="001F00A6" w:rsidRPr="00D974AD" w:rsidRDefault="001F00A6" w:rsidP="006F5E3F">
      <w:pPr>
        <w:widowControl w:val="0"/>
        <w:autoSpaceDE w:val="0"/>
        <w:autoSpaceDN w:val="0"/>
        <w:adjustRightInd w:val="0"/>
        <w:ind w:left="105" w:firstLine="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                                                                          </w:t>
      </w:r>
      <w:r w:rsid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 w:rsid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nr. </w:t>
      </w:r>
      <w:r w:rsidR="00A017AB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218/22.12.2015</w:t>
      </w:r>
      <w:bookmarkStart w:id="0" w:name="_GoBack"/>
      <w:bookmarkEnd w:id="0"/>
    </w:p>
    <w:p w:rsidR="001F00A6" w:rsidRDefault="001F00A6" w:rsidP="006F5E3F">
      <w:pPr>
        <w:widowControl w:val="0"/>
        <w:tabs>
          <w:tab w:val="right" w:pos="9510"/>
        </w:tabs>
        <w:autoSpaceDE w:val="0"/>
        <w:autoSpaceDN w:val="0"/>
        <w:adjustRightInd w:val="0"/>
        <w:ind w:left="105" w:firstLine="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                                                                </w:t>
      </w:r>
      <w:r w:rsid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                </w:t>
      </w: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PREŞEDINTE DE ŞEDINŢĂ,</w:t>
      </w:r>
    </w:p>
    <w:p w:rsidR="00D974AD" w:rsidRPr="00D974AD" w:rsidRDefault="00D974AD" w:rsidP="006F5E3F">
      <w:pPr>
        <w:widowControl w:val="0"/>
        <w:tabs>
          <w:tab w:val="right" w:pos="9510"/>
        </w:tabs>
        <w:autoSpaceDE w:val="0"/>
        <w:autoSpaceDN w:val="0"/>
        <w:adjustRightInd w:val="0"/>
        <w:ind w:left="105" w:firstLine="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Adrian Tănăsescu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  <w:t>Adria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</w:p>
    <w:p w:rsidR="001F00A6" w:rsidRPr="00D974AD" w:rsidRDefault="001F00A6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                                                                                </w:t>
      </w:r>
    </w:p>
    <w:p w:rsidR="001F00A6" w:rsidRPr="00D974AD" w:rsidRDefault="001F00A6" w:rsidP="006F5E3F">
      <w:pPr>
        <w:widowControl w:val="0"/>
        <w:tabs>
          <w:tab w:val="left" w:pos="16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</w:p>
    <w:p w:rsidR="001F00A6" w:rsidRDefault="001F00A6" w:rsidP="006F5E3F">
      <w:pPr>
        <w:widowControl w:val="0"/>
        <w:tabs>
          <w:tab w:val="left" w:pos="16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D974AD" w:rsidRPr="00D974AD" w:rsidRDefault="00D974AD" w:rsidP="006F5E3F">
      <w:pPr>
        <w:widowControl w:val="0"/>
        <w:tabs>
          <w:tab w:val="left" w:pos="16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F00A6" w:rsidRPr="00D974AD" w:rsidRDefault="001F00A6" w:rsidP="006F5E3F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REGULAMENTUL DE ORGANIZARE ŞI FUNCŢIONARE</w:t>
      </w:r>
    </w:p>
    <w:p w:rsidR="001F00A6" w:rsidRPr="00D974AD" w:rsidRDefault="001F00A6" w:rsidP="006F5E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D974A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al aparatului de specialitate al Primarului Sectorului 1</w:t>
      </w:r>
    </w:p>
    <w:p w:rsidR="001F00A6" w:rsidRPr="00D974AD" w:rsidRDefault="001F00A6" w:rsidP="006F5E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F00A6" w:rsidRPr="00D974AD" w:rsidRDefault="001F00A6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F00A6" w:rsidRPr="00D974AD" w:rsidRDefault="001F00A6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F00A6" w:rsidRPr="00D974AD" w:rsidRDefault="001F00A6" w:rsidP="005269C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74AD">
        <w:rPr>
          <w:rFonts w:ascii="Times New Roman" w:hAnsi="Times New Roman" w:cs="Times New Roman"/>
          <w:sz w:val="24"/>
          <w:szCs w:val="24"/>
          <w:lang w:val="it-IT"/>
        </w:rPr>
        <w:t xml:space="preserve">          Prevederile art. </w:t>
      </w:r>
      <w:r w:rsidR="006A148E" w:rsidRPr="00D974AD">
        <w:rPr>
          <w:rFonts w:ascii="Times New Roman" w:hAnsi="Times New Roman" w:cs="Times New Roman"/>
          <w:sz w:val="24"/>
          <w:szCs w:val="24"/>
          <w:lang w:val="it-IT"/>
        </w:rPr>
        <w:t xml:space="preserve">35 </w:t>
      </w:r>
      <w:r w:rsidRPr="00D974AD">
        <w:rPr>
          <w:rFonts w:ascii="Times New Roman" w:hAnsi="Times New Roman" w:cs="Times New Roman"/>
          <w:sz w:val="24"/>
          <w:szCs w:val="24"/>
          <w:lang w:val="it-IT"/>
        </w:rPr>
        <w:t>se modifică și se completează după cum:</w:t>
      </w:r>
    </w:p>
    <w:p w:rsidR="001F00A6" w:rsidRPr="00D974AD" w:rsidRDefault="001F00A6" w:rsidP="005269C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A15AB" w:rsidRPr="00D974AD" w:rsidRDefault="006A148E" w:rsidP="004A15A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974AD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Art.35</w:t>
      </w:r>
      <w:r w:rsidR="001F00A6" w:rsidRPr="00D974AD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="002B70EE" w:rsidRPr="00D974A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- </w:t>
      </w:r>
      <w:proofErr w:type="spellStart"/>
      <w:r w:rsidR="004A15AB" w:rsidRPr="00D974AD">
        <w:rPr>
          <w:rFonts w:ascii="Times New Roman" w:hAnsi="Times New Roman" w:cs="Times New Roman"/>
          <w:sz w:val="24"/>
          <w:szCs w:val="24"/>
          <w:lang w:eastAsia="ro-RO"/>
        </w:rPr>
        <w:t>Atribuţiile</w:t>
      </w:r>
      <w:proofErr w:type="spellEnd"/>
      <w:r w:rsidR="004A15AB"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A15AB" w:rsidRPr="00D974AD">
        <w:rPr>
          <w:rFonts w:ascii="Times New Roman" w:hAnsi="Times New Roman" w:cs="Times New Roman"/>
          <w:b/>
          <w:sz w:val="24"/>
          <w:szCs w:val="24"/>
          <w:u w:val="single"/>
          <w:lang w:eastAsia="ro-RO"/>
        </w:rPr>
        <w:t>Biroul</w:t>
      </w:r>
      <w:proofErr w:type="spellEnd"/>
      <w:r w:rsidR="004A15AB" w:rsidRPr="00D974AD">
        <w:rPr>
          <w:rFonts w:ascii="Times New Roman" w:hAnsi="Times New Roman" w:cs="Times New Roman"/>
          <w:b/>
          <w:sz w:val="24"/>
          <w:szCs w:val="24"/>
          <w:u w:val="single"/>
          <w:lang w:eastAsia="ro-RO"/>
        </w:rPr>
        <w:t xml:space="preserve"> Audit Intern</w:t>
      </w:r>
      <w:r w:rsidR="004A15AB"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A15AB" w:rsidRPr="00D974AD">
        <w:rPr>
          <w:rFonts w:ascii="Times New Roman" w:hAnsi="Times New Roman" w:cs="Times New Roman"/>
          <w:sz w:val="24"/>
          <w:szCs w:val="24"/>
          <w:lang w:eastAsia="ro-RO"/>
        </w:rPr>
        <w:t>sunt</w:t>
      </w:r>
      <w:proofErr w:type="spellEnd"/>
      <w:r w:rsidR="004A15AB"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4A15AB" w:rsidRPr="00D974AD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="004A15AB" w:rsidRPr="00D974AD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:rsidR="004A15AB" w:rsidRPr="00D974AD" w:rsidRDefault="004A15AB" w:rsidP="004A15A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activitatea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guvernată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normative:</w:t>
      </w:r>
    </w:p>
    <w:p w:rsidR="004A15AB" w:rsidRPr="00D974AD" w:rsidRDefault="004A15AB" w:rsidP="004A15AB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>•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672/2002 –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auditul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public intern,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republicată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</w:p>
    <w:p w:rsidR="004A15AB" w:rsidRPr="00D974AD" w:rsidRDefault="004A15AB" w:rsidP="004A15AB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•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Hotărârea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nr.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1259/2012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Normelor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coordonarea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desfăşurarea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proceselor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atestare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naţională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pregătire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profesională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continua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auditorilor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interni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sectorul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persoanelor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fizice</w:t>
      </w:r>
      <w:proofErr w:type="spellEnd"/>
    </w:p>
    <w:p w:rsidR="004A15AB" w:rsidRPr="00D974AD" w:rsidRDefault="004A15AB" w:rsidP="004A15AB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•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Hotărârea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nr.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1086/2013 -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Normelor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exercitarea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activitatii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</w:t>
      </w:r>
    </w:p>
    <w:p w:rsidR="004A15AB" w:rsidRPr="00D974AD" w:rsidRDefault="004A15AB" w:rsidP="004A15AB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•O.M.F.P nr. 252/2004 –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conduita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auditorului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intern</w:t>
      </w:r>
    </w:p>
    <w:p w:rsidR="004A15AB" w:rsidRPr="00D974AD" w:rsidRDefault="004A15AB" w:rsidP="004A15AB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>•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188/1999 –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Statutul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fuctionarilor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republicată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completările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1.Biroul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elaborează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Norme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metodologice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specifice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exercitarea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activităţii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desfăşurată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toate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aflate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autoritatea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Consiliului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Local Sector 1,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avizate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Serviciul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–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Direcţia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generală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regională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finanţelor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–organism cu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atribuţii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delegate de UCAPI;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2.Biroul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elaborează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proiectul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Planului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multianual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intern; 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3.Biroul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elaborează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proiectul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Planului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anual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intern; 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4.Biroul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efectuează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activităţi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evalua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dacă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sistemele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management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financiar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control ale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sunt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transparente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sunt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conforme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normele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legalitate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regularitate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economicitate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eficienta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eficacitate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5.Biroul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exercită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activităţi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asupra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tuturor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activităţilor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inclusiv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entitatile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aflate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privire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formarea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utilizarea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fondurilor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precum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administrarea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patrimoniului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public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6.Biroul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auditează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cel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puţin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o data la 3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fără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se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limita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acestea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a) 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activităţile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financiare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implicaţii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financiare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desfăşurate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entitatea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momentul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constituirii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angajamentelor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până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utilizarea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fondurilor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beneficiarii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finali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inclusiv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fondurilor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provenite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finanţare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externă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b)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plăţile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asumate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angajamente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bugetare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legale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inclusiv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fondurile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comunitare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c)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administrarea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patrimoniului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precum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vânzarea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gajarea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concesionarea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închirierea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bunuri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domeniul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privat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statului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unităţilor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administrativ-teritoriale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d)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concesionarea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închirierea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bunuri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domeniul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public al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statului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unităţilor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administrativ-teritoriale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lastRenderedPageBreak/>
        <w:t xml:space="preserve"> e)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constituirea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veniturilor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respectiv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modul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autorizare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stabilire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titlurilor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creanţă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precum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facilităţilor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acordate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încasarea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acestora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f)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alocarea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creditelor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bugetare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g)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sistemul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contabil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fiabilitatea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acestuia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h)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sistemul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luare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deciziilor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)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sistemele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conducere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control,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precum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riscurile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asociate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unor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astfel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sisteme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j)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sistemele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informatice</w:t>
      </w:r>
      <w:proofErr w:type="spellEnd"/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7.Efectuează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misiuni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ordonate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organul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ierarhic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superior ( SAI –DGRFPB)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solicitate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conducerea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aflate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cooperare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compartimentele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respective.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8.Raportează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cererea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la SAI –DGRFPB, organism cu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atribuţii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delegate de UCAPI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despre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constatările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concluziile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recomandările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urmare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misiunilor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desfăşurate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auditorii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Sector 1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7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aflate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9.Informează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periodic SAI –DGRFPB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despre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recomandările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neînsușite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conducătorii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structurilor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auditate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care nu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există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recomandări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neînsușite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această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raportare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se face.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>10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.Elaborează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Raportul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anual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activitatea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centralizarea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tuturor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Rapoartelor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anuale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ale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entitatilor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aflate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autoritatea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Consiliului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Local Sector 1.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Transmite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Raportul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anual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SAI –DGRFPB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până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la data de 31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ianuarie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următor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</w:t>
      </w:r>
      <w:proofErr w:type="gramEnd"/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>11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.Auditorii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raportează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termen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3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zile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şefului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despre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iregularităţile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posibilele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prejudicii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iar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Şeful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raportează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imediat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Primarului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Sector 1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structurii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control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abilitate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despre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iregularităţile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constatate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12.Șeful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verifică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respectarea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Normelor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instructiunilor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precum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Codului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conduita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etica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auditorului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intern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toate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compartimentele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(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–Sector 1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compartimentele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entitatile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aflate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).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13.Șeful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responsabil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gestionarea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resurselor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umane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asigurând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astfel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desfăşurarea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bune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condiţii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activităţii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14.Șeful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asigură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evaluarea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externă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activităţii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desfăşurată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nivelul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aflate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autoritatea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cel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puţin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o data la 5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15.Șeful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asigura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pregătirea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profesională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continua 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a 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auditorilor</w:t>
      </w:r>
      <w:proofErr w:type="spellEnd"/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(minim 15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zile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lucrătoare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/an).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>16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.Biroul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elaborează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Programul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îmbunătăţire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asigurare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calitătţii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activităţii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>17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.Biroul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efectuează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misiuni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ad-hoc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cererea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Primarului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Sector1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cererea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conducătorilor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aflate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>18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.Biroul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centralizează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planurile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anuale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 elaborate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aflate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sub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autoritate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transmise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Sector 1. </w:t>
      </w:r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19.Șeful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Audit Intern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asigură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toate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necesare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desfăşurarii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proceselor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avizare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numirii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destituirii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auditorului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intern (post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conducere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execuţie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), conform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prevederilor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Hotărârii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nr. 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1086/2013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Normelor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exercitarea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activitatii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audit public intern.</w:t>
      </w:r>
      <w:proofErr w:type="gramEnd"/>
    </w:p>
    <w:p w:rsidR="004A15AB" w:rsidRPr="00D974AD" w:rsidRDefault="004A15AB" w:rsidP="004A15A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D974AD">
        <w:rPr>
          <w:rFonts w:ascii="Times New Roman" w:hAnsi="Times New Roman" w:cs="Times New Roman"/>
          <w:sz w:val="24"/>
          <w:szCs w:val="24"/>
          <w:lang w:eastAsia="ro-RO"/>
        </w:rPr>
        <w:t>20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.Desfăşoară</w:t>
      </w:r>
      <w:proofErr w:type="gram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activităţi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specifice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implementare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a SCI/M conform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Ordinului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Secretariatului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General al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nr. </w:t>
      </w:r>
      <w:proofErr w:type="gram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400/2015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Codului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controlului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intern/managerial al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entităţilor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974AD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D974AD">
        <w:rPr>
          <w:rFonts w:ascii="Times New Roman" w:hAnsi="Times New Roman" w:cs="Times New Roman"/>
          <w:sz w:val="24"/>
          <w:szCs w:val="24"/>
          <w:lang w:eastAsia="ro-RO"/>
        </w:rPr>
        <w:t>.</w:t>
      </w:r>
      <w:proofErr w:type="gramEnd"/>
    </w:p>
    <w:p w:rsidR="001F00A6" w:rsidRPr="00D974AD" w:rsidRDefault="001F00A6" w:rsidP="004A15AB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00A6" w:rsidRPr="00D974AD" w:rsidRDefault="001F00A6" w:rsidP="005269C7">
      <w:pPr>
        <w:jc w:val="both"/>
        <w:rPr>
          <w:rFonts w:ascii="Times New Roman" w:hAnsi="Times New Roman" w:cs="Times New Roman"/>
          <w:sz w:val="24"/>
          <w:szCs w:val="24"/>
        </w:rPr>
      </w:pPr>
      <w:r w:rsidRPr="00D974AD">
        <w:rPr>
          <w:rFonts w:ascii="Times New Roman" w:hAnsi="Times New Roman" w:cs="Times New Roman"/>
          <w:sz w:val="24"/>
          <w:szCs w:val="24"/>
        </w:rPr>
        <w:t>________________________________//__________________________________________</w:t>
      </w:r>
    </w:p>
    <w:sectPr w:rsidR="001F00A6" w:rsidRPr="00D974AD" w:rsidSect="00D974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022E7"/>
    <w:multiLevelType w:val="hybridMultilevel"/>
    <w:tmpl w:val="83246D06"/>
    <w:lvl w:ilvl="0" w:tplc="F3163D20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201D0"/>
    <w:multiLevelType w:val="hybridMultilevel"/>
    <w:tmpl w:val="B5980E60"/>
    <w:lvl w:ilvl="0" w:tplc="5ABA0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E4156B"/>
    <w:multiLevelType w:val="hybridMultilevel"/>
    <w:tmpl w:val="A2E6D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3F"/>
    <w:rsid w:val="000040BE"/>
    <w:rsid w:val="000827F8"/>
    <w:rsid w:val="00090DB0"/>
    <w:rsid w:val="0014187C"/>
    <w:rsid w:val="00154DC7"/>
    <w:rsid w:val="001901D7"/>
    <w:rsid w:val="001A4BCB"/>
    <w:rsid w:val="001F00A6"/>
    <w:rsid w:val="002530BD"/>
    <w:rsid w:val="002B70EE"/>
    <w:rsid w:val="00334109"/>
    <w:rsid w:val="004A15AB"/>
    <w:rsid w:val="005269C7"/>
    <w:rsid w:val="00634D4D"/>
    <w:rsid w:val="006A148E"/>
    <w:rsid w:val="006F5E3F"/>
    <w:rsid w:val="00714C82"/>
    <w:rsid w:val="00795B00"/>
    <w:rsid w:val="00795E29"/>
    <w:rsid w:val="008C37E9"/>
    <w:rsid w:val="00936E93"/>
    <w:rsid w:val="009B0887"/>
    <w:rsid w:val="00A017AB"/>
    <w:rsid w:val="00D828E8"/>
    <w:rsid w:val="00D867A2"/>
    <w:rsid w:val="00D974AD"/>
    <w:rsid w:val="00F404C2"/>
    <w:rsid w:val="00FC0BC8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3F"/>
    <w:rPr>
      <w:rFonts w:eastAsia="Times New Roman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0DB0"/>
    <w:pPr>
      <w:spacing w:after="120"/>
      <w:ind w:left="720"/>
      <w:jc w:val="both"/>
    </w:pPr>
    <w:rPr>
      <w:rFonts w:eastAsia="Calibri"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634D4D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634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3F"/>
    <w:rPr>
      <w:rFonts w:eastAsia="Times New Roman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0DB0"/>
    <w:pPr>
      <w:spacing w:after="120"/>
      <w:ind w:left="720"/>
      <w:jc w:val="both"/>
    </w:pPr>
    <w:rPr>
      <w:rFonts w:eastAsia="Calibri"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634D4D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63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Anexă  nr</vt:lpstr>
    </vt:vector>
  </TitlesOfParts>
  <Company>HP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 nr</dc:title>
  <dc:creator>Daniela-Nicoleta Cefalan</dc:creator>
  <cp:lastModifiedBy>Daniela Anton</cp:lastModifiedBy>
  <cp:revision>7</cp:revision>
  <dcterms:created xsi:type="dcterms:W3CDTF">2015-12-10T10:30:00Z</dcterms:created>
  <dcterms:modified xsi:type="dcterms:W3CDTF">2015-12-22T06:36:00Z</dcterms:modified>
</cp:coreProperties>
</file>